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1052" w:type="dxa"/>
        <w:tblLook w:val="04A0" w:firstRow="1" w:lastRow="0" w:firstColumn="1" w:lastColumn="0" w:noHBand="0" w:noVBand="1"/>
      </w:tblPr>
      <w:tblGrid>
        <w:gridCol w:w="2547"/>
        <w:gridCol w:w="6662"/>
        <w:gridCol w:w="1843"/>
      </w:tblGrid>
      <w:tr w:rsidR="00D57EA4" w:rsidRPr="0000726A" w14:paraId="5C2B3132" w14:textId="77777777" w:rsidTr="00D57EA4">
        <w:trPr>
          <w:trHeight w:val="551"/>
        </w:trPr>
        <w:tc>
          <w:tcPr>
            <w:tcW w:w="2547" w:type="dxa"/>
            <w:vMerge w:val="restart"/>
            <w:vAlign w:val="center"/>
          </w:tcPr>
          <w:p w14:paraId="1590E39C" w14:textId="682B583F" w:rsidR="00546AC5" w:rsidRPr="0000726A" w:rsidRDefault="007815CC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E56724" wp14:editId="38B2AC64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Merge w:val="restart"/>
            <w:vAlign w:val="center"/>
          </w:tcPr>
          <w:p w14:paraId="7278A239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03364E55" w14:textId="75A49EE1" w:rsidR="00546AC5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DOKTORA </w:t>
            </w:r>
            <w:r w:rsidR="00634505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TEZ İZLEME KOMİTESİ BELİRLEME FORMU</w:t>
            </w:r>
          </w:p>
          <w:p w14:paraId="2F65E189" w14:textId="4DF2159B" w:rsidR="00546AC5" w:rsidRPr="00763691" w:rsidRDefault="00D57EA4" w:rsidP="00763691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Doctoral</w:t>
            </w:r>
            <w:proofErr w:type="spellEnd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Thesis</w:t>
            </w:r>
            <w:proofErr w:type="spellEnd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Monitoring</w:t>
            </w:r>
            <w:proofErr w:type="spellEnd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Committee</w:t>
            </w:r>
            <w:proofErr w:type="spellEnd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Determination</w:t>
            </w:r>
            <w:proofErr w:type="spellEnd"/>
            <w:r w:rsidRPr="00D57EA4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Form</w:t>
            </w:r>
          </w:p>
        </w:tc>
        <w:tc>
          <w:tcPr>
            <w:tcW w:w="1843" w:type="dxa"/>
          </w:tcPr>
          <w:p w14:paraId="728A244D" w14:textId="5B33CBC6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D57EA4" w:rsidRPr="0000726A" w14:paraId="62A58D98" w14:textId="77777777" w:rsidTr="00D57EA4">
        <w:trPr>
          <w:trHeight w:val="417"/>
        </w:trPr>
        <w:tc>
          <w:tcPr>
            <w:tcW w:w="2547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B032AC" w14:textId="1A95C0B1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5E43D5" w14:paraId="3138C89B" w14:textId="77777777" w:rsidTr="00A71573">
        <w:trPr>
          <w:trHeight w:val="199"/>
        </w:trPr>
        <w:tc>
          <w:tcPr>
            <w:tcW w:w="11052" w:type="dxa"/>
            <w:gridSpan w:val="3"/>
          </w:tcPr>
          <w:p w14:paraId="5363A835" w14:textId="29C33D4A" w:rsidR="00546AC5" w:rsidRPr="005E43D5" w:rsidRDefault="00546AC5" w:rsidP="0033567D">
            <w:pPr>
              <w:jc w:val="right"/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D57EA4" w:rsidRPr="00BA5719" w14:paraId="64533444" w14:textId="58EAE208" w:rsidTr="00D57EA4">
        <w:trPr>
          <w:trHeight w:val="283"/>
        </w:trPr>
        <w:tc>
          <w:tcPr>
            <w:tcW w:w="2547" w:type="dxa"/>
            <w:vAlign w:val="center"/>
          </w:tcPr>
          <w:p w14:paraId="608D660B" w14:textId="4D31D322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505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57EA4" w:rsidRPr="00BA5719" w14:paraId="31BE34A8" w14:textId="70F51810" w:rsidTr="00D57EA4">
        <w:trPr>
          <w:trHeight w:val="283"/>
        </w:trPr>
        <w:tc>
          <w:tcPr>
            <w:tcW w:w="2547" w:type="dxa"/>
            <w:vAlign w:val="center"/>
          </w:tcPr>
          <w:p w14:paraId="6708F702" w14:textId="4E25E724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505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57EA4" w:rsidRPr="00BA5719" w14:paraId="326C681E" w14:textId="56A0F250" w:rsidTr="00D57EA4">
        <w:trPr>
          <w:trHeight w:val="283"/>
        </w:trPr>
        <w:tc>
          <w:tcPr>
            <w:tcW w:w="2547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5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57EA4" w:rsidRPr="00BA5719" w14:paraId="484280FF" w14:textId="5EBA3BB0" w:rsidTr="00D57EA4">
        <w:trPr>
          <w:trHeight w:val="283"/>
        </w:trPr>
        <w:tc>
          <w:tcPr>
            <w:tcW w:w="2547" w:type="dxa"/>
            <w:vAlign w:val="center"/>
          </w:tcPr>
          <w:p w14:paraId="03E31547" w14:textId="5837B830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  <w:r w:rsidRPr="00546AC5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505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57EA4" w:rsidRPr="00BA5719" w14:paraId="21810368" w14:textId="77777777" w:rsidTr="00D57EA4">
        <w:trPr>
          <w:trHeight w:val="283"/>
        </w:trPr>
        <w:tc>
          <w:tcPr>
            <w:tcW w:w="2547" w:type="dxa"/>
            <w:vAlign w:val="center"/>
          </w:tcPr>
          <w:p w14:paraId="56E147A8" w14:textId="152F63FB" w:rsidR="000A6AB9" w:rsidRPr="00546AC5" w:rsidRDefault="000A6AB9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8505" w:type="dxa"/>
            <w:gridSpan w:val="2"/>
            <w:vAlign w:val="center"/>
          </w:tcPr>
          <w:p w14:paraId="1B86E80D" w14:textId="77777777" w:rsidR="000A6AB9" w:rsidRPr="00546AC5" w:rsidRDefault="000A6AB9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57EA4" w:rsidRPr="00BA5719" w14:paraId="3B04134B" w14:textId="04B5A3BE" w:rsidTr="00D57EA4">
        <w:trPr>
          <w:trHeight w:val="283"/>
        </w:trPr>
        <w:tc>
          <w:tcPr>
            <w:tcW w:w="2547" w:type="dxa"/>
            <w:vAlign w:val="center"/>
          </w:tcPr>
          <w:p w14:paraId="3A5B9845" w14:textId="6CA1DCE8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505" w:type="dxa"/>
            <w:gridSpan w:val="2"/>
            <w:vAlign w:val="center"/>
          </w:tcPr>
          <w:p w14:paraId="47575E5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57EA4" w:rsidRPr="00BA5719" w14:paraId="0BF7543A" w14:textId="33C509F6" w:rsidTr="00D57EA4">
        <w:trPr>
          <w:trHeight w:val="283"/>
        </w:trPr>
        <w:tc>
          <w:tcPr>
            <w:tcW w:w="2547" w:type="dxa"/>
            <w:vAlign w:val="center"/>
          </w:tcPr>
          <w:p w14:paraId="2664F313" w14:textId="77777777" w:rsidR="00546AC5" w:rsidRPr="00546AC5" w:rsidRDefault="00546AC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Numarası ve Mail</w:t>
            </w:r>
          </w:p>
          <w:p w14:paraId="09CDD6AE" w14:textId="77777777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Phone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Number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and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Mail</w:t>
            </w:r>
          </w:p>
        </w:tc>
        <w:tc>
          <w:tcPr>
            <w:tcW w:w="8505" w:type="dxa"/>
            <w:gridSpan w:val="2"/>
            <w:vAlign w:val="center"/>
          </w:tcPr>
          <w:p w14:paraId="291BF52A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EEBC43F" w14:textId="77777777" w:rsidTr="00A71573">
        <w:trPr>
          <w:trHeight w:val="1277"/>
        </w:trPr>
        <w:tc>
          <w:tcPr>
            <w:tcW w:w="11052" w:type="dxa"/>
            <w:gridSpan w:val="3"/>
          </w:tcPr>
          <w:p w14:paraId="40C28208" w14:textId="77777777" w:rsidR="005A3C5B" w:rsidRPr="00420373" w:rsidRDefault="005A3C5B" w:rsidP="00420373">
            <w:pPr>
              <w:jc w:val="both"/>
              <w:rPr>
                <w:rFonts w:ascii="Constantia" w:eastAsia="Times New Roman" w:hAnsi="Constantia" w:cs="Calibri"/>
                <w:sz w:val="6"/>
                <w:szCs w:val="6"/>
                <w:lang w:eastAsia="tr-TR"/>
              </w:rPr>
            </w:pPr>
          </w:p>
          <w:p w14:paraId="48A36228" w14:textId="77777777" w:rsidR="001D547C" w:rsidRPr="002A40ED" w:rsidRDefault="001D547C" w:rsidP="001D547C">
            <w:pPr>
              <w:jc w:val="center"/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</w:pPr>
            <w:r w:rsidRPr="002A40ED"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>T.C.</w:t>
            </w:r>
          </w:p>
          <w:p w14:paraId="3EF967BB" w14:textId="0A6228C7" w:rsidR="001D547C" w:rsidRPr="002A40ED" w:rsidRDefault="001D547C" w:rsidP="001D547C">
            <w:pPr>
              <w:jc w:val="center"/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 xml:space="preserve">İSTANBUL </w:t>
            </w:r>
            <w:r w:rsidRPr="002A40ED"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>NİŞANTAŞI ÜNİVERSİTESİ</w:t>
            </w:r>
          </w:p>
          <w:p w14:paraId="010D4A8D" w14:textId="77777777" w:rsidR="001D547C" w:rsidRDefault="001D547C" w:rsidP="001D547C">
            <w:pPr>
              <w:jc w:val="center"/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</w:pPr>
            <w:r w:rsidRPr="002A40ED"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>LİSANSÜSTÜ EĞİTİM ENSTİTÜSÜ</w:t>
            </w:r>
            <w:r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 xml:space="preserve"> MÜDÜRLÜĞÜNE</w:t>
            </w:r>
          </w:p>
          <w:p w14:paraId="79866B58" w14:textId="15F8E74D" w:rsidR="00634505" w:rsidRDefault="001D547C" w:rsidP="001D547C">
            <w:pPr>
              <w:jc w:val="both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  <w:r w:rsidRPr="00141460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>Lisansüstü Eğitim Enstitüsü bünyesinde doktora programına kayıtlı</w:t>
            </w:r>
            <w:r w:rsidR="00634505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 </w:t>
            </w:r>
            <w:r w:rsidR="00634505" w:rsidRPr="00634505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Yeterlik sınavında başarılı bulunan </w:t>
            </w:r>
            <w:r w:rsidR="00634505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yukarıda bilgileri yer alan </w:t>
            </w:r>
            <w:r w:rsidR="00634505" w:rsidRPr="00634505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>öğrenci için</w:t>
            </w:r>
            <w:r w:rsidR="00634505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 anabilim dalı başkanlığı tarafından önerilen tez izleme komitesi aşağıdaki gibidir. Enstitü yönetim kurulu kararı ile onaylanması ve öğrenciye tebliğ edilmesi hususunda gereğini arz ederim. </w:t>
            </w:r>
          </w:p>
          <w:p w14:paraId="08CE4141" w14:textId="6BAA0AA4" w:rsidR="003C7BAD" w:rsidRDefault="003C7BAD" w:rsidP="001D547C">
            <w:pPr>
              <w:jc w:val="both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</w:p>
          <w:p w14:paraId="75671FF9" w14:textId="77777777" w:rsidR="003C7BAD" w:rsidRDefault="003C7BAD" w:rsidP="001D547C">
            <w:pPr>
              <w:jc w:val="both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</w:p>
          <w:p w14:paraId="44468EB5" w14:textId="61DD8DB8" w:rsidR="001D547C" w:rsidRDefault="001D547C" w:rsidP="001D547C">
            <w:pPr>
              <w:jc w:val="both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</w:p>
          <w:p w14:paraId="2F629FFF" w14:textId="1E71FCB8" w:rsidR="001D547C" w:rsidRDefault="003C7BAD" w:rsidP="003C7BAD">
            <w:pPr>
              <w:jc w:val="center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>Tez Danışmanı</w:t>
            </w:r>
            <w:r w:rsidR="001D547C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</w:r>
            <w:r w:rsidR="001D547C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                                 </w:t>
            </w:r>
            <w:r w:rsidR="001D547C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 w:rsidR="001D547C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  <w:t>Anabilim Dalı Başkanı</w:t>
            </w:r>
          </w:p>
          <w:p w14:paraId="32CD044D" w14:textId="77777777" w:rsidR="001D547C" w:rsidRDefault="001D547C" w:rsidP="001D547C">
            <w:pPr>
              <w:jc w:val="center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</w:p>
          <w:p w14:paraId="12E55A7D" w14:textId="1666A164" w:rsidR="002507A4" w:rsidRDefault="001D547C" w:rsidP="001D547C">
            <w:pP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EK-1: </w:t>
            </w:r>
            <w:r w:rsidR="00634505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>Transkript</w:t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 </w:t>
            </w:r>
          </w:p>
          <w:p w14:paraId="15CEF077" w14:textId="72C30FB7" w:rsidR="00420373" w:rsidRPr="00420373" w:rsidRDefault="00420373" w:rsidP="00634505">
            <w:pPr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  <w:tr w:rsidR="00961911" w:rsidRPr="00BA5719" w14:paraId="17D26D1E" w14:textId="77777777" w:rsidTr="00A71573">
        <w:trPr>
          <w:trHeight w:val="283"/>
        </w:trPr>
        <w:tc>
          <w:tcPr>
            <w:tcW w:w="11052" w:type="dxa"/>
            <w:gridSpan w:val="3"/>
            <w:shd w:val="clear" w:color="auto" w:fill="F2F2F2" w:themeFill="background1" w:themeFillShade="F2"/>
            <w:vAlign w:val="center"/>
          </w:tcPr>
          <w:p w14:paraId="00A011AB" w14:textId="713A4E7E" w:rsidR="00961911" w:rsidRDefault="003E466A" w:rsidP="00CC7CC2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TEZ İZLEME KOMİTESİ</w:t>
            </w:r>
            <w:r w:rsidR="002507A4" w:rsidRPr="002507A4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 / </w:t>
            </w:r>
            <w:r w:rsidRPr="003E466A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THESIS MONITORING COMMITTEE</w:t>
            </w:r>
          </w:p>
        </w:tc>
      </w:tr>
      <w:tr w:rsidR="00961911" w:rsidRPr="00BA5719" w14:paraId="235EFABA" w14:textId="77777777" w:rsidTr="00D57EA4">
        <w:trPr>
          <w:trHeight w:val="2728"/>
        </w:trPr>
        <w:tc>
          <w:tcPr>
            <w:tcW w:w="11052" w:type="dxa"/>
            <w:gridSpan w:val="3"/>
          </w:tcPr>
          <w:p w14:paraId="34CE3233" w14:textId="77777777" w:rsidR="003E1AD1" w:rsidRPr="00DE44AC" w:rsidRDefault="003E1AD1" w:rsidP="005D2A43">
            <w:pPr>
              <w:jc w:val="center"/>
              <w:rPr>
                <w:rFonts w:ascii="Constantia" w:eastAsia="Times New Roman" w:hAnsi="Constantia" w:cs="Calibri"/>
                <w:sz w:val="2"/>
                <w:szCs w:val="2"/>
                <w:lang w:eastAsia="tr-TR"/>
              </w:rPr>
            </w:pPr>
          </w:p>
          <w:p w14:paraId="14D4CC19" w14:textId="77777777" w:rsidR="005D2A43" w:rsidRPr="00CA44EC" w:rsidRDefault="005D2A43" w:rsidP="005D2A43">
            <w:pPr>
              <w:jc w:val="center"/>
              <w:rPr>
                <w:rFonts w:ascii="Constantia" w:eastAsia="Times New Roman" w:hAnsi="Constantia" w:cs="Calibri"/>
                <w:sz w:val="12"/>
                <w:szCs w:val="12"/>
                <w:lang w:eastAsia="tr-TR"/>
              </w:rPr>
            </w:pPr>
          </w:p>
          <w:p w14:paraId="220AFA64" w14:textId="75DC9168" w:rsidR="002507A4" w:rsidRDefault="00975065" w:rsidP="002507A4">
            <w:pP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Tez izleme komitesi üç öğretim üyesinden oluşur.</w:t>
            </w:r>
            <w:r w:rsidR="0033567D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 </w:t>
            </w:r>
          </w:p>
          <w:p w14:paraId="1A498022" w14:textId="77777777" w:rsidR="00975065" w:rsidRDefault="00975065" w:rsidP="002507A4">
            <w:pP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  <w:tbl>
            <w:tblPr>
              <w:tblStyle w:val="TabloKlavuzuAk"/>
              <w:tblW w:w="10826" w:type="dxa"/>
              <w:jc w:val="center"/>
              <w:tblLook w:val="04A0" w:firstRow="1" w:lastRow="0" w:firstColumn="1" w:lastColumn="0" w:noHBand="0" w:noVBand="1"/>
            </w:tblPr>
            <w:tblGrid>
              <w:gridCol w:w="4188"/>
              <w:gridCol w:w="3321"/>
              <w:gridCol w:w="3317"/>
            </w:tblGrid>
            <w:tr w:rsidR="003E466A" w:rsidRPr="001E2205" w14:paraId="70EDACCB" w14:textId="0E63A6C2" w:rsidTr="003E466A">
              <w:trPr>
                <w:trHeight w:val="128"/>
                <w:jc w:val="center"/>
              </w:trPr>
              <w:tc>
                <w:tcPr>
                  <w:tcW w:w="4188" w:type="dxa"/>
                </w:tcPr>
                <w:p w14:paraId="1A348447" w14:textId="1B91B681" w:rsidR="003E466A" w:rsidRPr="001E2205" w:rsidRDefault="003E466A" w:rsidP="002507A4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Komite Üyesi</w:t>
                  </w:r>
                </w:p>
              </w:tc>
              <w:tc>
                <w:tcPr>
                  <w:tcW w:w="3321" w:type="dxa"/>
                </w:tcPr>
                <w:p w14:paraId="6BC3693D" w14:textId="44A91B5A" w:rsidR="003E466A" w:rsidRDefault="003E466A" w:rsidP="002507A4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Kurumu</w:t>
                  </w:r>
                </w:p>
              </w:tc>
              <w:tc>
                <w:tcPr>
                  <w:tcW w:w="3317" w:type="dxa"/>
                </w:tcPr>
                <w:p w14:paraId="20012291" w14:textId="28B9F3C7" w:rsidR="003E466A" w:rsidRDefault="003E466A" w:rsidP="002507A4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Mail Adresi</w:t>
                  </w:r>
                </w:p>
              </w:tc>
            </w:tr>
            <w:tr w:rsidR="003E466A" w:rsidRPr="001E2205" w14:paraId="193AE134" w14:textId="6697D018" w:rsidTr="003E466A">
              <w:trPr>
                <w:trHeight w:val="499"/>
                <w:jc w:val="center"/>
              </w:trPr>
              <w:tc>
                <w:tcPr>
                  <w:tcW w:w="4188" w:type="dxa"/>
                  <w:vAlign w:val="center"/>
                </w:tcPr>
                <w:p w14:paraId="690ADC8F" w14:textId="36EF757D" w:rsidR="003E466A" w:rsidRPr="00AB7D90" w:rsidRDefault="003E466A" w:rsidP="003E466A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Cs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3321" w:type="dxa"/>
                  <w:vAlign w:val="center"/>
                </w:tcPr>
                <w:p w14:paraId="60BC3AAE" w14:textId="77777777" w:rsidR="003E466A" w:rsidRPr="00AB7D90" w:rsidRDefault="003E466A" w:rsidP="003E466A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17" w:type="dxa"/>
                  <w:vAlign w:val="center"/>
                </w:tcPr>
                <w:p w14:paraId="69170421" w14:textId="77777777" w:rsidR="003E466A" w:rsidRPr="00AB7D90" w:rsidRDefault="003E466A" w:rsidP="003E466A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3E466A" w:rsidRPr="001E2205" w14:paraId="4C28D429" w14:textId="330656E8" w:rsidTr="003E466A">
              <w:trPr>
                <w:trHeight w:val="499"/>
                <w:jc w:val="center"/>
              </w:trPr>
              <w:tc>
                <w:tcPr>
                  <w:tcW w:w="4188" w:type="dxa"/>
                  <w:vAlign w:val="center"/>
                </w:tcPr>
                <w:p w14:paraId="02DE4290" w14:textId="518A602A" w:rsidR="003E466A" w:rsidRPr="00AB7D90" w:rsidRDefault="003E466A" w:rsidP="003E466A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321" w:type="dxa"/>
                  <w:vAlign w:val="center"/>
                </w:tcPr>
                <w:p w14:paraId="23AC4A68" w14:textId="77777777" w:rsidR="003E466A" w:rsidRPr="00AB7D90" w:rsidRDefault="003E466A" w:rsidP="003E466A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17" w:type="dxa"/>
                  <w:vAlign w:val="center"/>
                </w:tcPr>
                <w:p w14:paraId="1540D1DC" w14:textId="77777777" w:rsidR="003E466A" w:rsidRPr="00AB7D90" w:rsidRDefault="003E466A" w:rsidP="003E466A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3E466A" w:rsidRPr="001E2205" w14:paraId="15BA3EA3" w14:textId="72BF94A6" w:rsidTr="003E466A">
              <w:trPr>
                <w:trHeight w:val="499"/>
                <w:jc w:val="center"/>
              </w:trPr>
              <w:tc>
                <w:tcPr>
                  <w:tcW w:w="4188" w:type="dxa"/>
                  <w:vAlign w:val="center"/>
                </w:tcPr>
                <w:p w14:paraId="5560067B" w14:textId="375CC84A" w:rsidR="003E466A" w:rsidRPr="00AB7D90" w:rsidRDefault="003E466A" w:rsidP="003E466A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Cs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3321" w:type="dxa"/>
                  <w:vAlign w:val="center"/>
                </w:tcPr>
                <w:p w14:paraId="5FE57180" w14:textId="77777777" w:rsidR="003E466A" w:rsidRPr="00AB7D90" w:rsidRDefault="003E466A" w:rsidP="003E466A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17" w:type="dxa"/>
                  <w:vAlign w:val="center"/>
                </w:tcPr>
                <w:p w14:paraId="3AB69932" w14:textId="77777777" w:rsidR="003E466A" w:rsidRPr="00AB7D90" w:rsidRDefault="003E466A" w:rsidP="003E466A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3043481" w14:textId="3B3237E4" w:rsidR="00CA44EC" w:rsidRPr="00CA44EC" w:rsidRDefault="00CA44EC" w:rsidP="001D547C">
            <w:pPr>
              <w:jc w:val="both"/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  <w:tr w:rsidR="002507A4" w:rsidRPr="00BA5719" w14:paraId="25D257A9" w14:textId="77777777" w:rsidTr="00A71573">
        <w:trPr>
          <w:trHeight w:val="283"/>
        </w:trPr>
        <w:tc>
          <w:tcPr>
            <w:tcW w:w="11052" w:type="dxa"/>
            <w:gridSpan w:val="3"/>
            <w:shd w:val="clear" w:color="auto" w:fill="F2F2F2" w:themeFill="background1" w:themeFillShade="F2"/>
            <w:vAlign w:val="center"/>
          </w:tcPr>
          <w:p w14:paraId="12DC3B0F" w14:textId="37F16B68" w:rsidR="002507A4" w:rsidRDefault="002507A4" w:rsidP="50949BA7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50949BA7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ENSTİTÜ YÖNETİM KURULU KARARI / </w:t>
            </w:r>
            <w:r w:rsidR="6AA482E9" w:rsidRPr="50949BA7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THE DECISION OF THE EXECUTIVE BOARD</w:t>
            </w:r>
          </w:p>
        </w:tc>
      </w:tr>
      <w:tr w:rsidR="002507A4" w:rsidRPr="00BA5719" w14:paraId="73B5BD1E" w14:textId="77777777" w:rsidTr="00A71573">
        <w:trPr>
          <w:trHeight w:val="1580"/>
        </w:trPr>
        <w:tc>
          <w:tcPr>
            <w:tcW w:w="11052" w:type="dxa"/>
            <w:gridSpan w:val="3"/>
          </w:tcPr>
          <w:p w14:paraId="0FA12561" w14:textId="5F571E39" w:rsidR="0033567D" w:rsidRDefault="002507A4" w:rsidP="002507A4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34653B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İstanbul Nişantaşı Üniversitesi Lisansüstü Eğitim, Öğretim ve Sınav Yönetmeliği</w:t>
            </w:r>
            <w:r w:rsidR="00795C07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ne (Madde </w:t>
            </w:r>
            <w:r w:rsidR="0033567D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22</w:t>
            </w:r>
            <w:r w:rsidR="00795C07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) uygun biçimde </w:t>
            </w:r>
            <w:r w:rsidR="0033567D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anabilim/</w:t>
            </w:r>
            <w:proofErr w:type="spellStart"/>
            <w:r w:rsidR="0033567D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anasanat</w:t>
            </w:r>
            <w:proofErr w:type="spellEnd"/>
            <w:r w:rsidR="0033567D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 dalı başkanlığı tarafından önerilen doktora tezi izleme komitesinin onaylanmasına karar verilmiştir. </w:t>
            </w:r>
          </w:p>
          <w:p w14:paraId="15BF3E87" w14:textId="2C2F61ED" w:rsidR="002507A4" w:rsidRDefault="002507A4" w:rsidP="002507A4">
            <w:pPr>
              <w:jc w:val="both"/>
              <w:rPr>
                <w:rFonts w:ascii="Constantia" w:eastAsia="Times New Roman" w:hAnsi="Constantia" w:cs="Calibri"/>
                <w:sz w:val="6"/>
                <w:szCs w:val="6"/>
                <w:lang w:eastAsia="tr-TR"/>
              </w:rPr>
            </w:pPr>
          </w:p>
          <w:p w14:paraId="30CC862F" w14:textId="77777777" w:rsidR="0033567D" w:rsidRPr="0034653B" w:rsidRDefault="0033567D" w:rsidP="002507A4">
            <w:pPr>
              <w:jc w:val="both"/>
              <w:rPr>
                <w:rFonts w:ascii="Constantia" w:eastAsia="Times New Roman" w:hAnsi="Constantia" w:cs="Calibri"/>
                <w:sz w:val="6"/>
                <w:szCs w:val="6"/>
                <w:lang w:eastAsia="tr-TR"/>
              </w:rPr>
            </w:pPr>
          </w:p>
          <w:p w14:paraId="64CE8381" w14:textId="77777777" w:rsidR="002507A4" w:rsidRPr="0034653B" w:rsidRDefault="002507A4" w:rsidP="002507A4">
            <w:pPr>
              <w:jc w:val="both"/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Karar Numarası: </w:t>
            </w:r>
          </w:p>
          <w:p w14:paraId="6197CA1F" w14:textId="77777777" w:rsidR="002507A4" w:rsidRPr="0034653B" w:rsidRDefault="002507A4" w:rsidP="002507A4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Karar Tarihi     </w:t>
            </w:r>
            <w:proofErr w:type="gramStart"/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 :</w:t>
            </w:r>
            <w:proofErr w:type="gramEnd"/>
            <w:r w:rsidRPr="0034653B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  <w:p w14:paraId="1E385F89" w14:textId="1731F46F" w:rsidR="002507A4" w:rsidRPr="00DE44AC" w:rsidRDefault="002507A4" w:rsidP="002507A4">
            <w:pPr>
              <w:jc w:val="right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CC7CC2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Enstitü Müdür</w:t>
            </w:r>
            <w: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ü</w:t>
            </w:r>
          </w:p>
        </w:tc>
      </w:tr>
      <w:tr w:rsidR="002507A4" w:rsidRPr="00BA5719" w14:paraId="433D4675" w14:textId="77777777" w:rsidTr="00A71573">
        <w:trPr>
          <w:trHeight w:val="282"/>
        </w:trPr>
        <w:tc>
          <w:tcPr>
            <w:tcW w:w="11052" w:type="dxa"/>
            <w:gridSpan w:val="3"/>
            <w:shd w:val="clear" w:color="auto" w:fill="F2F2F2" w:themeFill="background1" w:themeFillShade="F2"/>
            <w:vAlign w:val="center"/>
          </w:tcPr>
          <w:p w14:paraId="2485FCBB" w14:textId="20D44EF7" w:rsidR="002507A4" w:rsidRDefault="002507A4" w:rsidP="002507A4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006D31A7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LİSANSÜSTÜ EĞİTİM, ÖĞRETİM VE SINAV YÖNETMELİĞİ İLGİLİ MADDE</w:t>
            </w:r>
          </w:p>
        </w:tc>
      </w:tr>
      <w:tr w:rsidR="002507A4" w:rsidRPr="00BA5719" w14:paraId="58F68365" w14:textId="77777777" w:rsidTr="00A71573">
        <w:trPr>
          <w:trHeight w:val="683"/>
        </w:trPr>
        <w:tc>
          <w:tcPr>
            <w:tcW w:w="11052" w:type="dxa"/>
            <w:gridSpan w:val="3"/>
            <w:vAlign w:val="center"/>
          </w:tcPr>
          <w:p w14:paraId="02A1ADE6" w14:textId="19720588" w:rsidR="00975065" w:rsidRDefault="00975065" w:rsidP="00634505">
            <w:pPr>
              <w:jc w:val="both"/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</w:pPr>
            <w:r w:rsidRPr="00975065"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  <w:t>Tez izleme komitesi</w:t>
            </w:r>
          </w:p>
          <w:p w14:paraId="01C6D4C0" w14:textId="00EC41B7" w:rsidR="00634505" w:rsidRPr="00634505" w:rsidRDefault="00634505" w:rsidP="00634505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634505"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  <w:t>MADDE 22 – </w:t>
            </w:r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(1) Yeterlik sınavında başarılı bulunan öğrenci için ilgili enstitü anabilim/</w:t>
            </w:r>
            <w:proofErr w:type="spellStart"/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anasanat</w:t>
            </w:r>
            <w:proofErr w:type="spellEnd"/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 dalı başkanlığının önerisi ve enstitü yönetim kurulu onayı ile bir ay içinde bir tez izleme komitesi oluşturulur.</w:t>
            </w:r>
          </w:p>
          <w:p w14:paraId="43DC87A4" w14:textId="77777777" w:rsidR="00634505" w:rsidRPr="00634505" w:rsidRDefault="00634505" w:rsidP="00634505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(2) Tez izleme komitesi üç öğretim üyesinden oluşur. Komitede tez danışmanından başka enstitü anabilim/</w:t>
            </w:r>
            <w:proofErr w:type="spellStart"/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anasanat</w:t>
            </w:r>
            <w:proofErr w:type="spellEnd"/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 dalı içinden ve dışından birer üye yer alır. İkinci tez danışmanının atanması durumunda ikinci tez danışmanı dilerse komite toplantılarına katılabilir.</w:t>
            </w:r>
          </w:p>
          <w:p w14:paraId="7E4C79C4" w14:textId="77777777" w:rsidR="00634505" w:rsidRPr="00634505" w:rsidRDefault="00634505" w:rsidP="00634505">
            <w:pPr>
              <w:jc w:val="both"/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(3) Tez izleme komitesinin kurulmasından sonraki dönemlerde, enstitü anabilim/</w:t>
            </w:r>
            <w:proofErr w:type="spellStart"/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>anasanat</w:t>
            </w:r>
            <w:proofErr w:type="spellEnd"/>
            <w:r w:rsidRPr="00634505"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 dalı başkanlığının önerisi ve enstitü yönetim kurulu onayı ile üyelerde değişiklik yapılabilir.</w:t>
            </w:r>
          </w:p>
          <w:p w14:paraId="42BC9D97" w14:textId="0F49BCE1" w:rsidR="002507A4" w:rsidRPr="00CC7CC2" w:rsidRDefault="002507A4" w:rsidP="002507A4">
            <w:pPr>
              <w:jc w:val="right"/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</w:pPr>
            <w:r w:rsidRPr="00CC7CC2">
              <w:rPr>
                <w:rFonts w:ascii="Constantia" w:eastAsia="Times New Roman" w:hAnsi="Constantia" w:cs="Calibri"/>
                <w:b/>
                <w:bCs/>
                <w:sz w:val="16"/>
                <w:szCs w:val="16"/>
                <w:lang w:eastAsia="tr-TR"/>
              </w:rPr>
              <w:t>Resmî Gazete Tarihi: 11.10.2020 Resmî Gazete Sayısı: 31271</w:t>
            </w:r>
          </w:p>
        </w:tc>
      </w:tr>
    </w:tbl>
    <w:p w14:paraId="58365520" w14:textId="15A990D5" w:rsidR="0033567D" w:rsidRPr="0033567D" w:rsidRDefault="0033567D" w:rsidP="0033567D">
      <w:pPr>
        <w:tabs>
          <w:tab w:val="left" w:pos="3076"/>
        </w:tabs>
        <w:rPr>
          <w:rFonts w:ascii="Constantia" w:eastAsia="Calibri" w:hAnsi="Constantia" w:cs="Calibri"/>
          <w:sz w:val="18"/>
          <w:szCs w:val="18"/>
        </w:rPr>
      </w:pPr>
    </w:p>
    <w:sectPr w:rsidR="0033567D" w:rsidRPr="0033567D" w:rsidSect="00DA3E9E">
      <w:footerReference w:type="default" r:id="rId7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5467" w14:textId="77777777" w:rsidR="009D5482" w:rsidRDefault="009D5482" w:rsidP="00DA3E9E">
      <w:pPr>
        <w:spacing w:after="0" w:line="240" w:lineRule="auto"/>
      </w:pPr>
      <w:r>
        <w:separator/>
      </w:r>
    </w:p>
  </w:endnote>
  <w:endnote w:type="continuationSeparator" w:id="0">
    <w:p w14:paraId="77EA9655" w14:textId="77777777" w:rsidR="009D5482" w:rsidRDefault="009D5482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B73B" w14:textId="0DE64A2A" w:rsidR="00623B74" w:rsidRDefault="00623B74" w:rsidP="00623B74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LE.FR.32 / Yayın Tarihi: </w:t>
    </w:r>
    <w:r w:rsidR="007815CC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53FC16CE" w14:textId="21FDCF9B" w:rsidR="00DA3E9E" w:rsidRPr="00623B74" w:rsidRDefault="00623B74" w:rsidP="00623B74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4C4D" w14:textId="77777777" w:rsidR="009D5482" w:rsidRDefault="009D5482" w:rsidP="00DA3E9E">
      <w:pPr>
        <w:spacing w:after="0" w:line="240" w:lineRule="auto"/>
      </w:pPr>
      <w:r>
        <w:separator/>
      </w:r>
    </w:p>
  </w:footnote>
  <w:footnote w:type="continuationSeparator" w:id="0">
    <w:p w14:paraId="668A98FD" w14:textId="77777777" w:rsidR="009D5482" w:rsidRDefault="009D5482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726A"/>
    <w:rsid w:val="00020EF3"/>
    <w:rsid w:val="0002188D"/>
    <w:rsid w:val="00023CD4"/>
    <w:rsid w:val="000244AC"/>
    <w:rsid w:val="00027A54"/>
    <w:rsid w:val="000632CA"/>
    <w:rsid w:val="00072A04"/>
    <w:rsid w:val="000A6AB9"/>
    <w:rsid w:val="000B20F5"/>
    <w:rsid w:val="000B32BC"/>
    <w:rsid w:val="000C115A"/>
    <w:rsid w:val="000E2976"/>
    <w:rsid w:val="000F77EF"/>
    <w:rsid w:val="001572C8"/>
    <w:rsid w:val="00180A1D"/>
    <w:rsid w:val="00185C5F"/>
    <w:rsid w:val="00186FF9"/>
    <w:rsid w:val="001B1B56"/>
    <w:rsid w:val="001C52DD"/>
    <w:rsid w:val="001D547C"/>
    <w:rsid w:val="001E3FAF"/>
    <w:rsid w:val="00223572"/>
    <w:rsid w:val="0022623C"/>
    <w:rsid w:val="00232307"/>
    <w:rsid w:val="00236530"/>
    <w:rsid w:val="002507A4"/>
    <w:rsid w:val="00253E6B"/>
    <w:rsid w:val="00260A81"/>
    <w:rsid w:val="00277416"/>
    <w:rsid w:val="0028458D"/>
    <w:rsid w:val="00292D2D"/>
    <w:rsid w:val="002B27A5"/>
    <w:rsid w:val="002C3B92"/>
    <w:rsid w:val="002D323E"/>
    <w:rsid w:val="002D7BDF"/>
    <w:rsid w:val="002F45DA"/>
    <w:rsid w:val="003145E3"/>
    <w:rsid w:val="00321B38"/>
    <w:rsid w:val="0033567D"/>
    <w:rsid w:val="0033772A"/>
    <w:rsid w:val="0034549D"/>
    <w:rsid w:val="0034653B"/>
    <w:rsid w:val="00370759"/>
    <w:rsid w:val="00370D20"/>
    <w:rsid w:val="00382055"/>
    <w:rsid w:val="00383768"/>
    <w:rsid w:val="003C7BAD"/>
    <w:rsid w:val="003D4B6E"/>
    <w:rsid w:val="003E032B"/>
    <w:rsid w:val="003E1AD1"/>
    <w:rsid w:val="003E466A"/>
    <w:rsid w:val="00405829"/>
    <w:rsid w:val="00407BF1"/>
    <w:rsid w:val="00420373"/>
    <w:rsid w:val="004465B9"/>
    <w:rsid w:val="00446EA8"/>
    <w:rsid w:val="00463D13"/>
    <w:rsid w:val="00464342"/>
    <w:rsid w:val="004A10BC"/>
    <w:rsid w:val="004A501C"/>
    <w:rsid w:val="004B04A5"/>
    <w:rsid w:val="004B0661"/>
    <w:rsid w:val="004D5CDB"/>
    <w:rsid w:val="00506428"/>
    <w:rsid w:val="00507C82"/>
    <w:rsid w:val="00546AC5"/>
    <w:rsid w:val="00556D95"/>
    <w:rsid w:val="00587FFA"/>
    <w:rsid w:val="00596EEE"/>
    <w:rsid w:val="005A3C5B"/>
    <w:rsid w:val="005C6FF4"/>
    <w:rsid w:val="005D116B"/>
    <w:rsid w:val="005D2A43"/>
    <w:rsid w:val="005E1A6E"/>
    <w:rsid w:val="005E43D5"/>
    <w:rsid w:val="006015FF"/>
    <w:rsid w:val="0061759C"/>
    <w:rsid w:val="0062284E"/>
    <w:rsid w:val="00623B74"/>
    <w:rsid w:val="00634505"/>
    <w:rsid w:val="00656D8B"/>
    <w:rsid w:val="006A64B3"/>
    <w:rsid w:val="006B0297"/>
    <w:rsid w:val="006B4E0E"/>
    <w:rsid w:val="006C57A2"/>
    <w:rsid w:val="006D036E"/>
    <w:rsid w:val="006D31A7"/>
    <w:rsid w:val="006D61F6"/>
    <w:rsid w:val="007023FD"/>
    <w:rsid w:val="00716E79"/>
    <w:rsid w:val="00732EDC"/>
    <w:rsid w:val="00763691"/>
    <w:rsid w:val="007815CC"/>
    <w:rsid w:val="007940C4"/>
    <w:rsid w:val="00795C07"/>
    <w:rsid w:val="00796642"/>
    <w:rsid w:val="007E08B1"/>
    <w:rsid w:val="007E4958"/>
    <w:rsid w:val="007F0ECD"/>
    <w:rsid w:val="00801E77"/>
    <w:rsid w:val="00822EB8"/>
    <w:rsid w:val="00830BB7"/>
    <w:rsid w:val="00874BD9"/>
    <w:rsid w:val="008877F5"/>
    <w:rsid w:val="00891DBE"/>
    <w:rsid w:val="00892BC7"/>
    <w:rsid w:val="008A5E6B"/>
    <w:rsid w:val="008B3698"/>
    <w:rsid w:val="008B4026"/>
    <w:rsid w:val="008B64E9"/>
    <w:rsid w:val="008F62C7"/>
    <w:rsid w:val="0092025C"/>
    <w:rsid w:val="009266DF"/>
    <w:rsid w:val="009339DD"/>
    <w:rsid w:val="00936B4A"/>
    <w:rsid w:val="00937F32"/>
    <w:rsid w:val="00961911"/>
    <w:rsid w:val="00962F41"/>
    <w:rsid w:val="009632DC"/>
    <w:rsid w:val="00966AAB"/>
    <w:rsid w:val="00975065"/>
    <w:rsid w:val="009859E5"/>
    <w:rsid w:val="00986C88"/>
    <w:rsid w:val="009A0FB2"/>
    <w:rsid w:val="009B745A"/>
    <w:rsid w:val="009C0DEF"/>
    <w:rsid w:val="009C1138"/>
    <w:rsid w:val="009D51FB"/>
    <w:rsid w:val="009D5482"/>
    <w:rsid w:val="009D7424"/>
    <w:rsid w:val="00A0155D"/>
    <w:rsid w:val="00A4419F"/>
    <w:rsid w:val="00A51656"/>
    <w:rsid w:val="00A71573"/>
    <w:rsid w:val="00A80CCF"/>
    <w:rsid w:val="00AA130A"/>
    <w:rsid w:val="00AB53D4"/>
    <w:rsid w:val="00AB7D90"/>
    <w:rsid w:val="00AC32BC"/>
    <w:rsid w:val="00AF2BAC"/>
    <w:rsid w:val="00B168D2"/>
    <w:rsid w:val="00B34FA9"/>
    <w:rsid w:val="00B423B3"/>
    <w:rsid w:val="00B54220"/>
    <w:rsid w:val="00B7325B"/>
    <w:rsid w:val="00B9004D"/>
    <w:rsid w:val="00B93482"/>
    <w:rsid w:val="00BA7FEF"/>
    <w:rsid w:val="00BC3D7C"/>
    <w:rsid w:val="00C30712"/>
    <w:rsid w:val="00C47862"/>
    <w:rsid w:val="00C72D4F"/>
    <w:rsid w:val="00C87426"/>
    <w:rsid w:val="00CA26E8"/>
    <w:rsid w:val="00CA44EC"/>
    <w:rsid w:val="00CB0253"/>
    <w:rsid w:val="00CC7605"/>
    <w:rsid w:val="00CC7CC2"/>
    <w:rsid w:val="00D00E4D"/>
    <w:rsid w:val="00D16411"/>
    <w:rsid w:val="00D504D1"/>
    <w:rsid w:val="00D57EA4"/>
    <w:rsid w:val="00D767D0"/>
    <w:rsid w:val="00D839F7"/>
    <w:rsid w:val="00DA005F"/>
    <w:rsid w:val="00DA3E9E"/>
    <w:rsid w:val="00DA555E"/>
    <w:rsid w:val="00DB271A"/>
    <w:rsid w:val="00DD6039"/>
    <w:rsid w:val="00DE44AC"/>
    <w:rsid w:val="00DF3237"/>
    <w:rsid w:val="00E261DE"/>
    <w:rsid w:val="00E34F75"/>
    <w:rsid w:val="00E410D9"/>
    <w:rsid w:val="00E41DF2"/>
    <w:rsid w:val="00E54455"/>
    <w:rsid w:val="00E73BE6"/>
    <w:rsid w:val="00E82746"/>
    <w:rsid w:val="00EB7E9E"/>
    <w:rsid w:val="00EE69DD"/>
    <w:rsid w:val="00F30BC7"/>
    <w:rsid w:val="00F32394"/>
    <w:rsid w:val="00F54EB1"/>
    <w:rsid w:val="00F56007"/>
    <w:rsid w:val="00F67EE6"/>
    <w:rsid w:val="00F775A4"/>
    <w:rsid w:val="00F816BD"/>
    <w:rsid w:val="00F8230A"/>
    <w:rsid w:val="00FD3CBD"/>
    <w:rsid w:val="00FD6F65"/>
    <w:rsid w:val="21A584A3"/>
    <w:rsid w:val="4F20074C"/>
    <w:rsid w:val="50949BA7"/>
    <w:rsid w:val="6AA48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  <w:style w:type="paragraph" w:styleId="ListeParagraf">
    <w:name w:val="List Paragraph"/>
    <w:basedOn w:val="Normal"/>
    <w:uiPriority w:val="34"/>
    <w:qFormat/>
    <w:rsid w:val="00AB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2023-02-03T13:53:00Z</cp:lastPrinted>
  <dcterms:created xsi:type="dcterms:W3CDTF">2026-01-19T10:28:00Z</dcterms:created>
  <dcterms:modified xsi:type="dcterms:W3CDTF">2026-01-19T10:28:00Z</dcterms:modified>
</cp:coreProperties>
</file>